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B28A" w14:textId="77777777" w:rsidR="006F4E6A" w:rsidRDefault="006F4E6A" w:rsidP="006F4E6A">
      <w:pPr>
        <w:pStyle w:val="Pa2"/>
        <w:spacing w:after="40" w:line="276" w:lineRule="auto"/>
        <w:jc w:val="center"/>
        <w:rPr>
          <w:rFonts w:ascii="Calibri Light" w:eastAsia="Batang" w:hAnsi="Calibri Light" w:cs="Times New Roman"/>
          <w:b/>
          <w:bCs/>
          <w:lang w:val="en-GB" w:eastAsia="ko-KR"/>
          <w14:ligatures w14:val="none"/>
        </w:rPr>
      </w:pPr>
      <w:bookmarkStart w:id="0" w:name="_Hlk145584744"/>
      <w:r>
        <w:rPr>
          <w:rFonts w:ascii="Calibri Light" w:eastAsia="Batang" w:hAnsi="Calibri Light" w:cs="Times New Roman"/>
          <w:b/>
          <w:bCs/>
          <w:noProof/>
          <w:lang w:val="en-GB" w:eastAsia="ko-KR"/>
          <w14:ligatures w14:val="none"/>
        </w:rPr>
        <w:drawing>
          <wp:inline distT="0" distB="0" distL="0" distR="0" wp14:anchorId="51595577" wp14:editId="1E47B215">
            <wp:extent cx="2962910" cy="2969260"/>
            <wp:effectExtent l="0" t="0" r="8890" b="2540"/>
            <wp:docPr id="15047998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910" cy="2969260"/>
                    </a:xfrm>
                    <a:prstGeom prst="rect">
                      <a:avLst/>
                    </a:prstGeom>
                    <a:noFill/>
                  </pic:spPr>
                </pic:pic>
              </a:graphicData>
            </a:graphic>
          </wp:inline>
        </w:drawing>
      </w:r>
    </w:p>
    <w:p w14:paraId="458DE824" w14:textId="709A89C1" w:rsidR="006F4E6A" w:rsidRDefault="006F4E6A" w:rsidP="006F4E6A">
      <w:pPr>
        <w:pStyle w:val="Pa2"/>
        <w:spacing w:after="40" w:line="276" w:lineRule="auto"/>
        <w:jc w:val="both"/>
        <w:rPr>
          <w:rFonts w:ascii="Calibri Light" w:eastAsia="Batang" w:hAnsi="Calibri Light" w:cs="Times New Roman"/>
          <w:lang w:val="en-GB" w:eastAsia="ko-KR"/>
          <w14:ligatures w14:val="none"/>
        </w:rPr>
      </w:pPr>
      <w:r w:rsidRPr="00C66636">
        <w:rPr>
          <w:rFonts w:ascii="Calibri Light" w:eastAsia="Batang" w:hAnsi="Calibri Light" w:cs="Times New Roman"/>
          <w:b/>
          <w:bCs/>
          <w:lang w:val="en-GB" w:eastAsia="ko-KR"/>
          <w14:ligatures w14:val="none"/>
        </w:rPr>
        <w:t>Participatory Action Research</w:t>
      </w:r>
      <w:r w:rsidRPr="00C66636">
        <w:rPr>
          <w:rStyle w:val="Refdenotaalpie"/>
          <w:rFonts w:asciiTheme="minorHAnsi" w:hAnsiTheme="minorHAnsi"/>
          <w:b/>
          <w:bCs/>
          <w:kern w:val="2"/>
          <w:sz w:val="20"/>
          <w:szCs w:val="20"/>
        </w:rPr>
        <w:footnoteReference w:id="1"/>
      </w:r>
      <w:r w:rsidRPr="00C66636">
        <w:rPr>
          <w:rStyle w:val="Refdenotaalpie"/>
          <w:rFonts w:asciiTheme="minorHAnsi" w:hAnsiTheme="minorHAnsi"/>
          <w:b/>
          <w:bCs/>
          <w:kern w:val="2"/>
          <w:sz w:val="20"/>
          <w:szCs w:val="20"/>
          <w:lang w:val="en-US"/>
        </w:rPr>
        <w:t xml:space="preserve"> </w:t>
      </w:r>
      <w:r w:rsidRPr="00C66636">
        <w:rPr>
          <w:rFonts w:ascii="Calibri Light" w:eastAsia="Batang" w:hAnsi="Calibri Light" w:cs="Times New Roman"/>
          <w:b/>
          <w:bCs/>
          <w:lang w:val="en-GB" w:eastAsia="ko-KR"/>
          <w14:ligatures w14:val="none"/>
        </w:rPr>
        <w:t>(PAR)</w:t>
      </w:r>
      <w:r>
        <w:rPr>
          <w:rFonts w:asciiTheme="minorHAnsi" w:hAnsiTheme="minorHAnsi"/>
          <w:kern w:val="2"/>
          <w:sz w:val="20"/>
          <w:szCs w:val="20"/>
          <w:lang w:val="en-US"/>
        </w:rPr>
        <w:t xml:space="preserve"> </w:t>
      </w:r>
      <w:r w:rsidRPr="00F04D9D">
        <w:rPr>
          <w:rFonts w:ascii="Calibri Light" w:eastAsia="Batang" w:hAnsi="Calibri Light" w:cs="Times New Roman"/>
          <w:lang w:val="en-GB" w:eastAsia="ko-KR"/>
          <w14:ligatures w14:val="none"/>
        </w:rPr>
        <w:t>is collaborative research, education and action used to gather information to use for change on social or environmental issues. It involves people who are concerned about or affected by an issue taking a leading role in producing and using knowledge about it.</w:t>
      </w:r>
      <w:r>
        <w:rPr>
          <w:rFonts w:ascii="Calibri Light" w:eastAsia="Batang" w:hAnsi="Calibri Light" w:cs="Times New Roman"/>
          <w:lang w:val="en-GB" w:eastAsia="ko-KR"/>
          <w14:ligatures w14:val="none"/>
        </w:rPr>
        <w:t xml:space="preserve"> </w:t>
      </w:r>
      <w:r w:rsidRPr="00A85C85">
        <w:rPr>
          <w:rFonts w:ascii="Calibri Light" w:eastAsia="Batang" w:hAnsi="Calibri Light" w:cs="Times New Roman"/>
          <w:lang w:val="en-GB" w:eastAsia="ko-KR"/>
          <w14:ligatures w14:val="none"/>
        </w:rPr>
        <w:t>Many names are now used to describe research processes that are in some way ‘participatory’: e.g. Participatory Appraisal, Participatory Learning and Action, Community-Based Participatory Research.</w:t>
      </w:r>
    </w:p>
    <w:p w14:paraId="700F7F92" w14:textId="77777777" w:rsidR="006F4E6A" w:rsidRDefault="006F4E6A" w:rsidP="006F4E6A">
      <w:pPr>
        <w:jc w:val="both"/>
        <w:rPr>
          <w:lang w:val="en-GB" w:eastAsia="ko-KR"/>
        </w:rPr>
      </w:pPr>
    </w:p>
    <w:p w14:paraId="69F980E4" w14:textId="7E8916B9" w:rsidR="00534815" w:rsidRDefault="00534815" w:rsidP="00534815">
      <w:pPr>
        <w:pStyle w:val="LetsNormalTEXT"/>
        <w:rPr>
          <w:lang w:val="en-US"/>
        </w:rPr>
      </w:pPr>
      <w:r w:rsidRPr="00534815">
        <w:rPr>
          <w:lang w:val="en-US"/>
        </w:rPr>
        <w:t>The Participatory action research (PAR) methodology is conceived within the LET'S CARE project as a cross-cutting tool, which is taken up from the very beginning of the project (WP1, Task 1.1), but it will be an action that will have repercussions on all the projects</w:t>
      </w:r>
      <w:r w:rsidRPr="00534815">
        <w:t xml:space="preserve"> </w:t>
      </w:r>
      <w:r w:rsidRPr="00534815">
        <w:rPr>
          <w:lang w:val="en-US"/>
        </w:rPr>
        <w:t xml:space="preserve">affecting the 4 Pillars (Safe learning, Safe teaching, Safe </w:t>
      </w:r>
      <w:proofErr w:type="gramStart"/>
      <w:r w:rsidRPr="00534815">
        <w:rPr>
          <w:lang w:val="en-US"/>
        </w:rPr>
        <w:t>schools</w:t>
      </w:r>
      <w:proofErr w:type="gramEnd"/>
      <w:r w:rsidRPr="00534815">
        <w:rPr>
          <w:lang w:val="en-US"/>
        </w:rPr>
        <w:t xml:space="preserve"> and safe education)</w:t>
      </w:r>
    </w:p>
    <w:p w14:paraId="60888B26" w14:textId="77777777" w:rsidR="00534815" w:rsidRDefault="00534815" w:rsidP="006F4E6A">
      <w:pPr>
        <w:jc w:val="both"/>
        <w:rPr>
          <w:lang w:val="en-US" w:eastAsia="ko-KR"/>
        </w:rPr>
      </w:pPr>
    </w:p>
    <w:p w14:paraId="1D9E03B8" w14:textId="23D2941B" w:rsidR="006F4E6A" w:rsidRPr="000357CF" w:rsidRDefault="006F4E6A" w:rsidP="006F4E6A">
      <w:pPr>
        <w:jc w:val="both"/>
        <w:rPr>
          <w:rFonts w:ascii="Calibri Light" w:eastAsia="Batang" w:hAnsi="Calibri Light" w:cs="Times New Roman"/>
          <w:kern w:val="0"/>
          <w:sz w:val="24"/>
          <w:szCs w:val="24"/>
          <w:lang w:val="en-US" w:eastAsia="ko-KR"/>
          <w14:ligatures w14:val="none"/>
        </w:rPr>
      </w:pPr>
      <w:r w:rsidRPr="000357CF">
        <w:rPr>
          <w:rFonts w:ascii="Calibri Light" w:eastAsia="Batang" w:hAnsi="Calibri Light" w:cs="Times New Roman"/>
          <w:kern w:val="0"/>
          <w:sz w:val="24"/>
          <w:szCs w:val="24"/>
          <w:lang w:val="en-US" w:eastAsia="ko-KR"/>
          <w14:ligatures w14:val="none"/>
        </w:rPr>
        <w:t>The objective of the LET'S CARE PAR Toolkit is to provide guidance on how to introduce the PAR approach transversally in the different actions of the project as well as to raise the questions that we will have to ask ourselves throughout the development of the project.</w:t>
      </w:r>
    </w:p>
    <w:p w14:paraId="5201711A" w14:textId="77777777" w:rsidR="006F4E6A" w:rsidRPr="000357CF" w:rsidRDefault="006F4E6A" w:rsidP="006F4E6A">
      <w:pPr>
        <w:jc w:val="both"/>
        <w:rPr>
          <w:rFonts w:ascii="Calibri Light" w:eastAsia="Batang" w:hAnsi="Calibri Light" w:cs="Times New Roman"/>
          <w:kern w:val="0"/>
          <w:sz w:val="24"/>
          <w:szCs w:val="24"/>
          <w:lang w:val="en-US" w:eastAsia="ko-KR"/>
          <w14:ligatures w14:val="none"/>
        </w:rPr>
      </w:pPr>
      <w:r w:rsidRPr="000357CF">
        <w:rPr>
          <w:rFonts w:ascii="Calibri Light" w:eastAsia="Batang" w:hAnsi="Calibri Light" w:cs="Times New Roman"/>
          <w:kern w:val="0"/>
          <w:sz w:val="24"/>
          <w:szCs w:val="24"/>
          <w:lang w:val="en-US" w:eastAsia="ko-KR"/>
          <w14:ligatures w14:val="none"/>
        </w:rPr>
        <w:t>PAR is a research approach, not a method. Many different methods can be used in PAR projects, as in the case of LET'S CARE: focus groups, semi-structured in-depth interviews, life stories, storytelling, photo elicitation, etc.</w:t>
      </w:r>
    </w:p>
    <w:p w14:paraId="0548F4B7" w14:textId="77777777" w:rsidR="00534815" w:rsidRDefault="00534815" w:rsidP="006F4E6A">
      <w:pPr>
        <w:jc w:val="both"/>
        <w:rPr>
          <w:rFonts w:ascii="Calibri Light" w:eastAsia="Batang" w:hAnsi="Calibri Light" w:cs="Times New Roman"/>
          <w:kern w:val="0"/>
          <w:sz w:val="24"/>
          <w:szCs w:val="24"/>
          <w:lang w:val="en-US" w:eastAsia="ko-KR"/>
          <w14:ligatures w14:val="none"/>
        </w:rPr>
      </w:pPr>
    </w:p>
    <w:p w14:paraId="2D978F65" w14:textId="714F2B9C" w:rsidR="006F4E6A" w:rsidRDefault="006F4E6A" w:rsidP="006F4E6A">
      <w:pPr>
        <w:jc w:val="both"/>
        <w:rPr>
          <w:rFonts w:ascii="Calibri Light" w:eastAsia="Batang" w:hAnsi="Calibri Light" w:cs="Times New Roman"/>
          <w:kern w:val="0"/>
          <w:sz w:val="24"/>
          <w:szCs w:val="24"/>
          <w:lang w:val="en-US" w:eastAsia="ko-KR"/>
          <w14:ligatures w14:val="none"/>
        </w:rPr>
      </w:pPr>
      <w:r w:rsidRPr="000357CF">
        <w:rPr>
          <w:rFonts w:ascii="Calibri Light" w:eastAsia="Batang" w:hAnsi="Calibri Light" w:cs="Times New Roman"/>
          <w:kern w:val="0"/>
          <w:sz w:val="24"/>
          <w:szCs w:val="24"/>
          <w:lang w:val="en-US" w:eastAsia="ko-KR"/>
          <w14:ligatures w14:val="none"/>
        </w:rPr>
        <w:lastRenderedPageBreak/>
        <w:t xml:space="preserve">As explained above, the PAR approach should be oriented to these </w:t>
      </w:r>
      <w:r w:rsidRPr="00C66636">
        <w:rPr>
          <w:rFonts w:ascii="Calibri Light" w:eastAsia="Batang" w:hAnsi="Calibri Light" w:cs="Times New Roman"/>
          <w:b/>
          <w:bCs/>
          <w:kern w:val="0"/>
          <w:sz w:val="24"/>
          <w:szCs w:val="24"/>
          <w:lang w:val="en-US" w:eastAsia="ko-KR"/>
          <w14:ligatures w14:val="none"/>
        </w:rPr>
        <w:t>actions</w:t>
      </w:r>
      <w:r w:rsidRPr="000357CF">
        <w:rPr>
          <w:rFonts w:ascii="Calibri Light" w:eastAsia="Batang" w:hAnsi="Calibri Light" w:cs="Times New Roman"/>
          <w:kern w:val="0"/>
          <w:sz w:val="24"/>
          <w:szCs w:val="24"/>
          <w:lang w:val="en-US" w:eastAsia="ko-KR"/>
          <w14:ligatures w14:val="none"/>
        </w:rPr>
        <w:t>:</w:t>
      </w:r>
    </w:p>
    <w:p w14:paraId="2A64D3BC" w14:textId="77777777" w:rsidR="006F4E6A" w:rsidRPr="0005093B" w:rsidRDefault="006F4E6A" w:rsidP="006F4E6A">
      <w:pPr>
        <w:pStyle w:val="Prrafodelista"/>
        <w:numPr>
          <w:ilvl w:val="0"/>
          <w:numId w:val="1"/>
        </w:numPr>
        <w:jc w:val="both"/>
        <w:rPr>
          <w:rFonts w:ascii="Calibri Light" w:eastAsia="Batang" w:hAnsi="Calibri Light" w:cs="Times New Roman"/>
          <w:kern w:val="0"/>
          <w:sz w:val="24"/>
          <w:szCs w:val="24"/>
          <w:lang w:val="en-US" w:eastAsia="ko-KR"/>
          <w14:ligatures w14:val="none"/>
        </w:rPr>
      </w:pPr>
      <w:r w:rsidRPr="0005093B">
        <w:rPr>
          <w:rFonts w:ascii="Calibri Light" w:eastAsia="Batang" w:hAnsi="Calibri Light" w:cs="Times New Roman"/>
          <w:kern w:val="0"/>
          <w:sz w:val="24"/>
          <w:szCs w:val="24"/>
          <w:lang w:val="en-US" w:eastAsia="ko-KR"/>
          <w14:ligatures w14:val="none"/>
        </w:rPr>
        <w:t>PARTICIPATORY</w:t>
      </w:r>
    </w:p>
    <w:p w14:paraId="791B960E" w14:textId="77777777" w:rsidR="006F4E6A" w:rsidRPr="0005093B" w:rsidRDefault="006F4E6A" w:rsidP="006F4E6A">
      <w:pPr>
        <w:pStyle w:val="Prrafodelista"/>
        <w:numPr>
          <w:ilvl w:val="1"/>
          <w:numId w:val="1"/>
        </w:numPr>
        <w:jc w:val="both"/>
        <w:rPr>
          <w:rFonts w:ascii="Calibri Light" w:eastAsia="Batang" w:hAnsi="Calibri Light" w:cs="Times New Roman"/>
          <w:kern w:val="0"/>
          <w:sz w:val="24"/>
          <w:szCs w:val="24"/>
          <w:lang w:val="en-US" w:eastAsia="ko-KR"/>
          <w14:ligatures w14:val="none"/>
        </w:rPr>
      </w:pPr>
      <w:r w:rsidRPr="0005093B">
        <w:rPr>
          <w:rFonts w:ascii="Calibri Light" w:eastAsia="Batang" w:hAnsi="Calibri Light" w:cs="Times New Roman"/>
          <w:kern w:val="0"/>
          <w:sz w:val="24"/>
          <w:szCs w:val="24"/>
          <w:lang w:val="en-US" w:eastAsia="ko-KR"/>
          <w14:ligatures w14:val="none"/>
        </w:rPr>
        <w:t xml:space="preserve">Collaboration </w:t>
      </w:r>
      <w:proofErr w:type="spellStart"/>
      <w:r w:rsidRPr="0005093B">
        <w:rPr>
          <w:rFonts w:ascii="Calibri Light" w:eastAsia="Batang" w:hAnsi="Calibri Light" w:cs="Times New Roman"/>
          <w:kern w:val="0"/>
          <w:sz w:val="24"/>
          <w:szCs w:val="24"/>
          <w:lang w:val="en-US" w:eastAsia="ko-KR"/>
          <w14:ligatures w14:val="none"/>
        </w:rPr>
        <w:t>throught</w:t>
      </w:r>
      <w:proofErr w:type="spellEnd"/>
      <w:r w:rsidRPr="0005093B">
        <w:rPr>
          <w:rFonts w:ascii="Calibri Light" w:eastAsia="Batang" w:hAnsi="Calibri Light" w:cs="Times New Roman"/>
          <w:kern w:val="0"/>
          <w:sz w:val="24"/>
          <w:szCs w:val="24"/>
          <w:lang w:val="en-US" w:eastAsia="ko-KR"/>
          <w14:ligatures w14:val="none"/>
        </w:rPr>
        <w:t xml:space="preserve"> participation</w:t>
      </w:r>
    </w:p>
    <w:p w14:paraId="32589138" w14:textId="77777777" w:rsidR="006F4E6A" w:rsidRPr="0005093B" w:rsidRDefault="006F4E6A" w:rsidP="006F4E6A">
      <w:pPr>
        <w:pStyle w:val="Prrafodelista"/>
        <w:numPr>
          <w:ilvl w:val="1"/>
          <w:numId w:val="1"/>
        </w:numPr>
        <w:jc w:val="both"/>
        <w:rPr>
          <w:rFonts w:ascii="Calibri Light" w:eastAsia="Batang" w:hAnsi="Calibri Light" w:cs="Times New Roman"/>
          <w:kern w:val="0"/>
          <w:sz w:val="24"/>
          <w:szCs w:val="24"/>
          <w:lang w:val="en-US" w:eastAsia="ko-KR"/>
          <w14:ligatures w14:val="none"/>
        </w:rPr>
      </w:pPr>
      <w:r w:rsidRPr="0005093B">
        <w:rPr>
          <w:rFonts w:ascii="Calibri Light" w:eastAsia="Batang" w:hAnsi="Calibri Light" w:cs="Times New Roman"/>
          <w:kern w:val="0"/>
          <w:sz w:val="24"/>
          <w:szCs w:val="24"/>
          <w:lang w:val="en-US" w:eastAsia="ko-KR"/>
          <w14:ligatures w14:val="none"/>
        </w:rPr>
        <w:t>Empowerment of participants</w:t>
      </w:r>
    </w:p>
    <w:p w14:paraId="0AC7EE2F" w14:textId="77777777" w:rsidR="006F4E6A" w:rsidRPr="0005093B" w:rsidRDefault="006F4E6A" w:rsidP="006F4E6A">
      <w:pPr>
        <w:pStyle w:val="Prrafodelista"/>
        <w:jc w:val="both"/>
        <w:rPr>
          <w:rFonts w:ascii="Calibri Light" w:eastAsia="Batang" w:hAnsi="Calibri Light" w:cs="Times New Roman"/>
          <w:kern w:val="0"/>
          <w:sz w:val="24"/>
          <w:szCs w:val="24"/>
          <w:lang w:val="en-US" w:eastAsia="ko-KR"/>
          <w14:ligatures w14:val="none"/>
        </w:rPr>
      </w:pPr>
    </w:p>
    <w:p w14:paraId="33093693" w14:textId="77777777" w:rsidR="006F4E6A" w:rsidRPr="0005093B" w:rsidRDefault="006F4E6A" w:rsidP="006F4E6A">
      <w:pPr>
        <w:pStyle w:val="Prrafodelista"/>
        <w:numPr>
          <w:ilvl w:val="0"/>
          <w:numId w:val="1"/>
        </w:numPr>
        <w:jc w:val="both"/>
        <w:rPr>
          <w:rFonts w:ascii="Calibri Light" w:eastAsia="Batang" w:hAnsi="Calibri Light" w:cs="Times New Roman"/>
          <w:kern w:val="0"/>
          <w:sz w:val="24"/>
          <w:szCs w:val="24"/>
          <w:lang w:val="en-US" w:eastAsia="ko-KR"/>
          <w14:ligatures w14:val="none"/>
        </w:rPr>
      </w:pPr>
      <w:r w:rsidRPr="0005093B">
        <w:rPr>
          <w:rFonts w:ascii="Calibri Light" w:eastAsia="Batang" w:hAnsi="Calibri Light" w:cs="Times New Roman"/>
          <w:kern w:val="0"/>
          <w:sz w:val="24"/>
          <w:szCs w:val="24"/>
          <w:lang w:val="en-US" w:eastAsia="ko-KR"/>
          <w14:ligatures w14:val="none"/>
        </w:rPr>
        <w:t>ACTION</w:t>
      </w:r>
    </w:p>
    <w:p w14:paraId="037F7368" w14:textId="77777777" w:rsidR="006F4E6A" w:rsidRPr="0005093B" w:rsidRDefault="006F4E6A" w:rsidP="006F4E6A">
      <w:pPr>
        <w:pStyle w:val="Prrafodelista"/>
        <w:numPr>
          <w:ilvl w:val="1"/>
          <w:numId w:val="1"/>
        </w:numPr>
        <w:jc w:val="both"/>
        <w:rPr>
          <w:rFonts w:ascii="Calibri Light" w:eastAsia="Batang" w:hAnsi="Calibri Light" w:cs="Times New Roman"/>
          <w:kern w:val="0"/>
          <w:sz w:val="24"/>
          <w:szCs w:val="24"/>
          <w:lang w:val="en-US" w:eastAsia="ko-KR"/>
          <w14:ligatures w14:val="none"/>
        </w:rPr>
      </w:pPr>
      <w:r w:rsidRPr="0005093B">
        <w:rPr>
          <w:rFonts w:ascii="Calibri Light" w:eastAsia="Batang" w:hAnsi="Calibri Light" w:cs="Times New Roman"/>
          <w:kern w:val="0"/>
          <w:sz w:val="24"/>
          <w:szCs w:val="24"/>
          <w:lang w:val="en-US" w:eastAsia="ko-KR"/>
          <w14:ligatures w14:val="none"/>
        </w:rPr>
        <w:t>Change-real life experience</w:t>
      </w:r>
    </w:p>
    <w:p w14:paraId="4B7B13A1" w14:textId="77777777" w:rsidR="006F4E6A" w:rsidRPr="0005093B" w:rsidRDefault="006F4E6A" w:rsidP="006F4E6A">
      <w:pPr>
        <w:pStyle w:val="Prrafodelista"/>
        <w:numPr>
          <w:ilvl w:val="1"/>
          <w:numId w:val="1"/>
        </w:numPr>
        <w:jc w:val="both"/>
        <w:rPr>
          <w:rFonts w:ascii="Calibri Light" w:eastAsia="Batang" w:hAnsi="Calibri Light" w:cs="Times New Roman"/>
          <w:kern w:val="0"/>
          <w:sz w:val="24"/>
          <w:szCs w:val="24"/>
          <w:lang w:val="en-US" w:eastAsia="ko-KR"/>
          <w14:ligatures w14:val="none"/>
        </w:rPr>
      </w:pPr>
      <w:r w:rsidRPr="0005093B">
        <w:rPr>
          <w:rFonts w:ascii="Calibri Light" w:eastAsia="Batang" w:hAnsi="Calibri Light" w:cs="Times New Roman"/>
          <w:kern w:val="0"/>
          <w:sz w:val="24"/>
          <w:szCs w:val="24"/>
          <w:lang w:val="en-US" w:eastAsia="ko-KR"/>
          <w14:ligatures w14:val="none"/>
        </w:rPr>
        <w:t xml:space="preserve">Evidenced in terms of different </w:t>
      </w:r>
      <w:proofErr w:type="gramStart"/>
      <w:r w:rsidRPr="0005093B">
        <w:rPr>
          <w:rFonts w:ascii="Calibri Light" w:eastAsia="Batang" w:hAnsi="Calibri Light" w:cs="Times New Roman"/>
          <w:kern w:val="0"/>
          <w:sz w:val="24"/>
          <w:szCs w:val="24"/>
          <w:lang w:val="en-US" w:eastAsia="ko-KR"/>
          <w14:ligatures w14:val="none"/>
        </w:rPr>
        <w:t>outcomes</w:t>
      </w:r>
      <w:proofErr w:type="gramEnd"/>
    </w:p>
    <w:p w14:paraId="4BACDFD4" w14:textId="77777777" w:rsidR="006F4E6A" w:rsidRPr="0005093B" w:rsidRDefault="006F4E6A" w:rsidP="006F4E6A">
      <w:pPr>
        <w:pStyle w:val="Prrafodelista"/>
        <w:jc w:val="both"/>
        <w:rPr>
          <w:rFonts w:ascii="Calibri Light" w:eastAsia="Batang" w:hAnsi="Calibri Light" w:cs="Times New Roman"/>
          <w:kern w:val="0"/>
          <w:sz w:val="24"/>
          <w:szCs w:val="24"/>
          <w:lang w:val="en-US" w:eastAsia="ko-KR"/>
          <w14:ligatures w14:val="none"/>
        </w:rPr>
      </w:pPr>
    </w:p>
    <w:p w14:paraId="4213A7C6" w14:textId="77777777" w:rsidR="006F4E6A" w:rsidRPr="0005093B" w:rsidRDefault="006F4E6A" w:rsidP="006F4E6A">
      <w:pPr>
        <w:pStyle w:val="Prrafodelista"/>
        <w:numPr>
          <w:ilvl w:val="0"/>
          <w:numId w:val="1"/>
        </w:numPr>
        <w:jc w:val="both"/>
        <w:rPr>
          <w:rFonts w:ascii="Calibri Light" w:eastAsia="Batang" w:hAnsi="Calibri Light" w:cs="Times New Roman"/>
          <w:kern w:val="0"/>
          <w:sz w:val="24"/>
          <w:szCs w:val="24"/>
          <w:lang w:val="en-US" w:eastAsia="ko-KR"/>
          <w14:ligatures w14:val="none"/>
        </w:rPr>
      </w:pPr>
      <w:r w:rsidRPr="0005093B">
        <w:rPr>
          <w:rFonts w:ascii="Calibri Light" w:eastAsia="Batang" w:hAnsi="Calibri Light" w:cs="Times New Roman"/>
          <w:kern w:val="0"/>
          <w:sz w:val="24"/>
          <w:szCs w:val="24"/>
          <w:lang w:val="en-US" w:eastAsia="ko-KR"/>
          <w14:ligatures w14:val="none"/>
        </w:rPr>
        <w:t>RESEARCH</w:t>
      </w:r>
    </w:p>
    <w:p w14:paraId="07183604" w14:textId="77777777" w:rsidR="006F4E6A" w:rsidRPr="0005093B" w:rsidRDefault="006F4E6A" w:rsidP="006F4E6A">
      <w:pPr>
        <w:pStyle w:val="Prrafodelista"/>
        <w:numPr>
          <w:ilvl w:val="1"/>
          <w:numId w:val="1"/>
        </w:numPr>
        <w:jc w:val="both"/>
        <w:rPr>
          <w:rFonts w:ascii="Calibri Light" w:eastAsia="Batang" w:hAnsi="Calibri Light" w:cs="Times New Roman"/>
          <w:kern w:val="0"/>
          <w:sz w:val="24"/>
          <w:szCs w:val="24"/>
          <w:lang w:val="en-US" w:eastAsia="ko-KR"/>
          <w14:ligatures w14:val="none"/>
        </w:rPr>
      </w:pPr>
      <w:r w:rsidRPr="0005093B">
        <w:rPr>
          <w:rFonts w:ascii="Calibri Light" w:eastAsia="Batang" w:hAnsi="Calibri Light" w:cs="Times New Roman"/>
          <w:kern w:val="0"/>
          <w:sz w:val="24"/>
          <w:szCs w:val="24"/>
          <w:lang w:val="en-US" w:eastAsia="ko-KR"/>
          <w14:ligatures w14:val="none"/>
        </w:rPr>
        <w:t>New Knowledge</w:t>
      </w:r>
    </w:p>
    <w:p w14:paraId="46DCFE2F" w14:textId="77777777" w:rsidR="006F4E6A" w:rsidRPr="0005093B" w:rsidRDefault="006F4E6A" w:rsidP="006F4E6A">
      <w:pPr>
        <w:pStyle w:val="Prrafodelista"/>
        <w:numPr>
          <w:ilvl w:val="1"/>
          <w:numId w:val="1"/>
        </w:numPr>
        <w:jc w:val="both"/>
        <w:rPr>
          <w:rFonts w:ascii="Calibri Light" w:eastAsia="Batang" w:hAnsi="Calibri Light" w:cs="Times New Roman"/>
          <w:kern w:val="0"/>
          <w:sz w:val="24"/>
          <w:szCs w:val="24"/>
          <w:lang w:val="en-US" w:eastAsia="ko-KR"/>
          <w14:ligatures w14:val="none"/>
        </w:rPr>
      </w:pPr>
      <w:proofErr w:type="spellStart"/>
      <w:r w:rsidRPr="0005093B">
        <w:rPr>
          <w:rFonts w:ascii="Calibri Light" w:eastAsia="Batang" w:hAnsi="Calibri Light" w:cs="Times New Roman"/>
          <w:kern w:val="0"/>
          <w:sz w:val="24"/>
          <w:szCs w:val="24"/>
          <w:lang w:val="en-US" w:eastAsia="ko-KR"/>
          <w14:ligatures w14:val="none"/>
        </w:rPr>
        <w:t>Documentd</w:t>
      </w:r>
      <w:proofErr w:type="spellEnd"/>
      <w:r w:rsidRPr="0005093B">
        <w:rPr>
          <w:rFonts w:ascii="Calibri Light" w:eastAsia="Batang" w:hAnsi="Calibri Light" w:cs="Times New Roman"/>
          <w:kern w:val="0"/>
          <w:sz w:val="24"/>
          <w:szCs w:val="24"/>
          <w:lang w:val="en-US" w:eastAsia="ko-KR"/>
          <w14:ligatures w14:val="none"/>
        </w:rPr>
        <w:t xml:space="preserve"> lessons</w:t>
      </w:r>
    </w:p>
    <w:bookmarkEnd w:id="0"/>
    <w:p w14:paraId="440F3D9D" w14:textId="77777777" w:rsidR="003529F3" w:rsidRDefault="003529F3" w:rsidP="006F4E6A">
      <w:pPr>
        <w:jc w:val="both"/>
      </w:pPr>
    </w:p>
    <w:p w14:paraId="1D6133A2" w14:textId="77777777" w:rsidR="00534815" w:rsidRDefault="00534815" w:rsidP="00534815">
      <w:pPr>
        <w:shd w:val="clear" w:color="auto" w:fill="FFFFFF"/>
        <w:spacing w:afterLines="200" w:after="480" w:line="276" w:lineRule="auto"/>
        <w:textAlignment w:val="baseline"/>
        <w:rPr>
          <w:rFonts w:ascii="Calibri Light" w:hAnsi="Calibri Light"/>
          <w:sz w:val="24"/>
        </w:rPr>
      </w:pPr>
      <w:r w:rsidRPr="00534815">
        <w:rPr>
          <w:rFonts w:ascii="Calibri Light" w:hAnsi="Calibri Light"/>
          <w:sz w:val="24"/>
          <w:lang w:val="en-US"/>
        </w:rPr>
        <w:t>PAR asks reflexive questions about whose ‘voice’ matters in the research process through methodological innovation and infusing community expertise with academic tools and research methods</w:t>
      </w:r>
      <w:r>
        <w:rPr>
          <w:rStyle w:val="Refdenotaalpie"/>
          <w:rFonts w:ascii="Calibri Light" w:hAnsi="Calibri Light"/>
          <w:sz w:val="24"/>
        </w:rPr>
        <w:footnoteReference w:id="2"/>
      </w:r>
      <w:r w:rsidRPr="00534815">
        <w:rPr>
          <w:rFonts w:ascii="Calibri Light" w:hAnsi="Calibri Light"/>
          <w:sz w:val="24"/>
          <w:lang w:val="en-US"/>
        </w:rPr>
        <w:t xml:space="preserve">. The level of involvement of research participants varies according to context, aims and project resources. </w:t>
      </w:r>
      <w:proofErr w:type="spellStart"/>
      <w:r w:rsidRPr="00685A88">
        <w:rPr>
          <w:rFonts w:ascii="Calibri Light" w:hAnsi="Calibri Light"/>
          <w:sz w:val="24"/>
        </w:rPr>
        <w:t>That</w:t>
      </w:r>
      <w:proofErr w:type="spellEnd"/>
      <w:r w:rsidRPr="00685A88">
        <w:rPr>
          <w:rFonts w:ascii="Calibri Light" w:hAnsi="Calibri Light"/>
          <w:sz w:val="24"/>
        </w:rPr>
        <w:t xml:space="preserve"> </w:t>
      </w:r>
      <w:proofErr w:type="spellStart"/>
      <w:r w:rsidRPr="00685A88">
        <w:rPr>
          <w:rFonts w:ascii="Calibri Light" w:hAnsi="Calibri Light"/>
          <w:sz w:val="24"/>
        </w:rPr>
        <w:t>said</w:t>
      </w:r>
      <w:proofErr w:type="spellEnd"/>
      <w:r w:rsidRPr="00685A88">
        <w:rPr>
          <w:rFonts w:ascii="Calibri Light" w:hAnsi="Calibri Light"/>
          <w:sz w:val="24"/>
        </w:rPr>
        <w:t xml:space="preserve">, PAR </w:t>
      </w:r>
      <w:proofErr w:type="spellStart"/>
      <w:r w:rsidRPr="00685A88">
        <w:rPr>
          <w:rFonts w:ascii="Calibri Light" w:hAnsi="Calibri Light"/>
          <w:sz w:val="24"/>
        </w:rPr>
        <w:t>studies</w:t>
      </w:r>
      <w:proofErr w:type="spellEnd"/>
      <w:r w:rsidRPr="00685A88">
        <w:rPr>
          <w:rFonts w:ascii="Calibri Light" w:hAnsi="Calibri Light"/>
          <w:sz w:val="24"/>
        </w:rPr>
        <w:t xml:space="preserve"> share </w:t>
      </w:r>
      <w:proofErr w:type="spellStart"/>
      <w:r w:rsidRPr="00685A88">
        <w:rPr>
          <w:rFonts w:ascii="Calibri Light" w:hAnsi="Calibri Light"/>
          <w:sz w:val="24"/>
        </w:rPr>
        <w:t>several</w:t>
      </w:r>
      <w:proofErr w:type="spellEnd"/>
      <w:r w:rsidRPr="00685A88">
        <w:rPr>
          <w:rFonts w:ascii="Calibri Light" w:hAnsi="Calibri Light"/>
          <w:sz w:val="24"/>
        </w:rPr>
        <w:t xml:space="preserve"> </w:t>
      </w:r>
      <w:proofErr w:type="spellStart"/>
      <w:r w:rsidRPr="00685A88">
        <w:rPr>
          <w:rFonts w:ascii="Calibri Light" w:hAnsi="Calibri Light"/>
          <w:sz w:val="24"/>
        </w:rPr>
        <w:t>underlying</w:t>
      </w:r>
      <w:proofErr w:type="spellEnd"/>
      <w:r w:rsidRPr="00685A88">
        <w:rPr>
          <w:rFonts w:ascii="Calibri Light" w:hAnsi="Calibri Light"/>
          <w:sz w:val="24"/>
        </w:rPr>
        <w:t xml:space="preserve"> </w:t>
      </w:r>
      <w:proofErr w:type="spellStart"/>
      <w:r w:rsidRPr="00685A88">
        <w:rPr>
          <w:rFonts w:ascii="Calibri Light" w:hAnsi="Calibri Light"/>
          <w:sz w:val="24"/>
        </w:rPr>
        <w:t>assumptions</w:t>
      </w:r>
      <w:proofErr w:type="spellEnd"/>
      <w:r w:rsidRPr="00685A88">
        <w:rPr>
          <w:rFonts w:ascii="Calibri Light" w:hAnsi="Calibri Light"/>
          <w:sz w:val="24"/>
        </w:rPr>
        <w:t>:</w:t>
      </w:r>
    </w:p>
    <w:p w14:paraId="35068B98" w14:textId="77777777" w:rsidR="00534815" w:rsidRDefault="00534815" w:rsidP="00534815">
      <w:pPr>
        <w:pStyle w:val="LetsLIST"/>
        <w:numPr>
          <w:ilvl w:val="0"/>
          <w:numId w:val="3"/>
        </w:numPr>
        <w:spacing w:afterLines="200" w:after="480"/>
        <w:ind w:left="714" w:hanging="357"/>
      </w:pPr>
      <w:r w:rsidRPr="00976FE1">
        <w:t>Formal education is not necessary to take part in valuable research</w:t>
      </w:r>
      <w:r>
        <w:t>.</w:t>
      </w:r>
    </w:p>
    <w:p w14:paraId="57261378" w14:textId="77777777" w:rsidR="00534815" w:rsidRDefault="00534815" w:rsidP="00534815">
      <w:pPr>
        <w:pStyle w:val="LetsLIST"/>
        <w:numPr>
          <w:ilvl w:val="0"/>
          <w:numId w:val="3"/>
        </w:numPr>
        <w:spacing w:afterLines="200" w:after="480"/>
        <w:ind w:left="714" w:hanging="357"/>
      </w:pPr>
      <w:r w:rsidRPr="00976FE1">
        <w:t xml:space="preserve">Those who have </w:t>
      </w:r>
      <w:bookmarkStart w:id="1" w:name="_Hlk145579519"/>
      <w:r w:rsidRPr="00976FE1">
        <w:t>lived experience of an issue or system are experts and therefore are best placed to contribute to related research.</w:t>
      </w:r>
    </w:p>
    <w:p w14:paraId="6AC5C6D8" w14:textId="77777777" w:rsidR="00534815" w:rsidRPr="00976FE1" w:rsidRDefault="00534815" w:rsidP="00534815">
      <w:pPr>
        <w:pStyle w:val="LetsLIST"/>
        <w:numPr>
          <w:ilvl w:val="0"/>
          <w:numId w:val="3"/>
        </w:numPr>
        <w:spacing w:afterLines="200" w:after="480"/>
        <w:ind w:left="714" w:hanging="357"/>
      </w:pPr>
      <w:r w:rsidRPr="00976FE1">
        <w:t>Involvement of non-academics in research design and production can improve research by reducing biases and bringing new insights and perspectives</w:t>
      </w:r>
      <w:r>
        <w:rPr>
          <w:rStyle w:val="Refdenotaalpie"/>
        </w:rPr>
        <w:footnoteReference w:id="3"/>
      </w:r>
      <w:r w:rsidRPr="00976FE1">
        <w:t>.</w:t>
      </w:r>
    </w:p>
    <w:bookmarkEnd w:id="1"/>
    <w:p w14:paraId="3F14D5F7" w14:textId="031D9856" w:rsidR="00534815" w:rsidRDefault="00534815" w:rsidP="006F4E6A">
      <w:pPr>
        <w:jc w:val="both"/>
        <w:rPr>
          <w:noProof/>
          <w:lang w:val="en-GB"/>
        </w:rPr>
      </w:pPr>
      <w:r>
        <w:rPr>
          <w:noProof/>
          <w:lang w:val="en-GB"/>
        </w:rPr>
        <w:lastRenderedPageBreak/>
        <w:drawing>
          <wp:inline distT="0" distB="0" distL="0" distR="0" wp14:anchorId="2309C108" wp14:editId="5E984F62">
            <wp:extent cx="4904740" cy="3676104"/>
            <wp:effectExtent l="0" t="0" r="0" b="635"/>
            <wp:docPr id="15956668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9062" cy="3679343"/>
                    </a:xfrm>
                    <a:prstGeom prst="rect">
                      <a:avLst/>
                    </a:prstGeom>
                    <a:noFill/>
                  </pic:spPr>
                </pic:pic>
              </a:graphicData>
            </a:graphic>
          </wp:inline>
        </w:drawing>
      </w:r>
    </w:p>
    <w:p w14:paraId="53D4FC02" w14:textId="77777777" w:rsidR="00534815" w:rsidRDefault="00534815" w:rsidP="00534815">
      <w:pPr>
        <w:pStyle w:val="LetsFIGURES"/>
      </w:pPr>
      <w:r>
        <w:tab/>
      </w:r>
      <w:bookmarkStart w:id="2" w:name="_Hlk145062542"/>
      <w:r>
        <w:t>F</w:t>
      </w:r>
      <w:r w:rsidRPr="00534815">
        <w:t>igure 1. PAR Methodology: Children Need´s Let´s Care Project</w:t>
      </w:r>
      <w:bookmarkEnd w:id="2"/>
    </w:p>
    <w:p w14:paraId="5F376FC7" w14:textId="2CD4BD35" w:rsidR="00534815" w:rsidRPr="00534815" w:rsidRDefault="00534815" w:rsidP="00534815">
      <w:pPr>
        <w:tabs>
          <w:tab w:val="left" w:pos="2655"/>
        </w:tabs>
        <w:rPr>
          <w:lang w:val="en-GB"/>
        </w:rPr>
      </w:pPr>
    </w:p>
    <w:sectPr w:rsidR="00534815" w:rsidRPr="005348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19F0" w14:textId="77777777" w:rsidR="00F00C78" w:rsidRDefault="00F00C78" w:rsidP="006F4E6A">
      <w:pPr>
        <w:spacing w:after="0" w:line="240" w:lineRule="auto"/>
      </w:pPr>
      <w:r>
        <w:separator/>
      </w:r>
    </w:p>
  </w:endnote>
  <w:endnote w:type="continuationSeparator" w:id="0">
    <w:p w14:paraId="4F1AA441" w14:textId="77777777" w:rsidR="00F00C78" w:rsidRDefault="00F00C78" w:rsidP="006F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no Pro">
    <w:altName w:val="Arno Pro"/>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7613" w14:textId="77777777" w:rsidR="00F00C78" w:rsidRDefault="00F00C78" w:rsidP="006F4E6A">
      <w:pPr>
        <w:spacing w:after="0" w:line="240" w:lineRule="auto"/>
      </w:pPr>
      <w:r>
        <w:separator/>
      </w:r>
    </w:p>
  </w:footnote>
  <w:footnote w:type="continuationSeparator" w:id="0">
    <w:p w14:paraId="2BDAD2DE" w14:textId="77777777" w:rsidR="00F00C78" w:rsidRDefault="00F00C78" w:rsidP="006F4E6A">
      <w:pPr>
        <w:spacing w:after="0" w:line="240" w:lineRule="auto"/>
      </w:pPr>
      <w:r>
        <w:continuationSeparator/>
      </w:r>
    </w:p>
  </w:footnote>
  <w:footnote w:id="1">
    <w:p w14:paraId="27103CE6" w14:textId="77777777" w:rsidR="006F4E6A" w:rsidRPr="00F04D9D" w:rsidRDefault="006F4E6A" w:rsidP="006F4E6A">
      <w:pPr>
        <w:pStyle w:val="Textonotapie"/>
        <w:spacing w:after="200" w:line="276" w:lineRule="auto"/>
        <w:ind w:hanging="56"/>
        <w:jc w:val="both"/>
        <w:rPr>
          <w:rFonts w:ascii="Calibri Light" w:hAnsi="Calibri Light"/>
          <w:sz w:val="24"/>
          <w:szCs w:val="24"/>
          <w:lang w:val="en-US"/>
        </w:rPr>
      </w:pPr>
      <w:r>
        <w:rPr>
          <w:rStyle w:val="Refdenotaalpie"/>
        </w:rPr>
        <w:footnoteRef/>
      </w:r>
      <w:r w:rsidRPr="00F04D9D">
        <w:rPr>
          <w:lang w:val="en-US"/>
        </w:rPr>
        <w:t xml:space="preserve"> </w:t>
      </w:r>
      <w:proofErr w:type="spellStart"/>
      <w:proofErr w:type="gramStart"/>
      <w:r w:rsidRPr="00F04D9D">
        <w:rPr>
          <w:rFonts w:ascii="Calibri Light" w:eastAsia="Batang" w:hAnsi="Calibri Light" w:cs="Times New Roman"/>
          <w:kern w:val="0"/>
          <w:lang w:val="en-GB" w:eastAsia="ko-KR"/>
          <w14:ligatures w14:val="none"/>
        </w:rPr>
        <w:t>Pain,R</w:t>
      </w:r>
      <w:proofErr w:type="spellEnd"/>
      <w:r w:rsidRPr="00F04D9D">
        <w:rPr>
          <w:rFonts w:ascii="Calibri Light" w:eastAsia="Batang" w:hAnsi="Calibri Light" w:cs="Times New Roman"/>
          <w:kern w:val="0"/>
          <w:lang w:val="en-GB" w:eastAsia="ko-KR"/>
          <w14:ligatures w14:val="none"/>
        </w:rPr>
        <w:t>.</w:t>
      </w:r>
      <w:proofErr w:type="gramEnd"/>
      <w:r w:rsidRPr="00F04D9D">
        <w:rPr>
          <w:rFonts w:ascii="Calibri Light" w:eastAsia="Batang" w:hAnsi="Calibri Light" w:cs="Times New Roman"/>
          <w:kern w:val="0"/>
          <w:lang w:val="en-GB" w:eastAsia="ko-KR"/>
          <w14:ligatures w14:val="none"/>
        </w:rPr>
        <w:t>, Whitman, G. and Milledge, D. (Durham University)&amp; Lune Rivers Trust (2010-2011). Participatory Action Participatory Action Research Toolkit: An Introduction to Using PAR as an Approach to Learning, Research and Action</w:t>
      </w:r>
    </w:p>
    <w:p w14:paraId="34FD05A4" w14:textId="77777777" w:rsidR="006F4E6A" w:rsidRPr="00F04D9D" w:rsidRDefault="006F4E6A" w:rsidP="006F4E6A">
      <w:pPr>
        <w:pStyle w:val="Textonotapie"/>
        <w:rPr>
          <w:lang w:val="en-US"/>
        </w:rPr>
      </w:pPr>
    </w:p>
  </w:footnote>
  <w:footnote w:id="2">
    <w:p w14:paraId="406A4E05" w14:textId="77777777" w:rsidR="00534815" w:rsidRPr="00534815" w:rsidRDefault="00534815" w:rsidP="00534815">
      <w:pPr>
        <w:pStyle w:val="Textonotapie"/>
        <w:rPr>
          <w:rFonts w:ascii="Calibri Light" w:hAnsi="Calibri Light"/>
          <w:lang w:val="en-US"/>
        </w:rPr>
      </w:pPr>
      <w:r>
        <w:rPr>
          <w:rStyle w:val="Refdenotaalpie"/>
        </w:rPr>
        <w:footnoteRef/>
      </w:r>
      <w:r w:rsidRPr="00534815">
        <w:rPr>
          <w:lang w:val="en-US"/>
        </w:rPr>
        <w:t xml:space="preserve"> </w:t>
      </w:r>
      <w:proofErr w:type="spellStart"/>
      <w:r w:rsidRPr="00534815">
        <w:rPr>
          <w:rFonts w:ascii="Calibri Light" w:hAnsi="Calibri Light"/>
          <w:lang w:val="en-US"/>
        </w:rPr>
        <w:t>Kindon</w:t>
      </w:r>
      <w:proofErr w:type="spellEnd"/>
      <w:r w:rsidRPr="00534815">
        <w:rPr>
          <w:rFonts w:ascii="Calibri Light" w:hAnsi="Calibri Light"/>
          <w:lang w:val="en-US"/>
        </w:rPr>
        <w:t>, S., Pain, R. and Kesby, M. (2009) 'Participatory Action Research', in Kitchin, R. and Thrift, N. (eds.) International Encyclopedia of Human Geography. Oxford: Elsevier, pp. 90-95</w:t>
      </w:r>
    </w:p>
  </w:footnote>
  <w:footnote w:id="3">
    <w:p w14:paraId="493FF1E7" w14:textId="77777777" w:rsidR="00534815" w:rsidRPr="00534815" w:rsidRDefault="00534815" w:rsidP="00534815">
      <w:pPr>
        <w:pStyle w:val="Textonotapie"/>
        <w:rPr>
          <w:rFonts w:ascii="Calibri Light" w:hAnsi="Calibri Light"/>
          <w:lang w:val="en-US"/>
        </w:rPr>
      </w:pPr>
      <w:r>
        <w:rPr>
          <w:rStyle w:val="Refdenotaalpie"/>
        </w:rPr>
        <w:footnoteRef/>
      </w:r>
      <w:r w:rsidRPr="00534815">
        <w:rPr>
          <w:lang w:val="en-US"/>
        </w:rPr>
        <w:t xml:space="preserve"> </w:t>
      </w:r>
      <w:r w:rsidRPr="00534815">
        <w:rPr>
          <w:rFonts w:ascii="Calibri Light" w:hAnsi="Calibri Light"/>
          <w:lang w:val="en-US"/>
        </w:rPr>
        <w:t>Organizing Engagement, (2021). Participatory Action Research and Evaluation.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8FF"/>
    <w:multiLevelType w:val="multilevel"/>
    <w:tmpl w:val="0A56D934"/>
    <w:lvl w:ilvl="0">
      <w:start w:val="1"/>
      <w:numFmt w:val="bullet"/>
      <w:pStyle w:val="LetsLIST"/>
      <w:lvlText w:val=""/>
      <w:lvlJc w:val="left"/>
      <w:pPr>
        <w:tabs>
          <w:tab w:val="num" w:pos="227"/>
        </w:tabs>
        <w:ind w:left="227" w:hanging="227"/>
      </w:pPr>
      <w:rPr>
        <w:rFonts w:ascii="Wingdings" w:hAnsi="Wingdings" w:cs="Wingdings" w:hint="default"/>
        <w:color w:val="5E2D8E"/>
        <w:sz w:val="20"/>
      </w:rPr>
    </w:lvl>
    <w:lvl w:ilvl="1">
      <w:start w:val="1"/>
      <w:numFmt w:val="bullet"/>
      <w:lvlText w:val=""/>
      <w:lvlJc w:val="left"/>
      <w:pPr>
        <w:tabs>
          <w:tab w:val="num" w:pos="454"/>
        </w:tabs>
        <w:ind w:left="454" w:hanging="227"/>
      </w:pPr>
      <w:rPr>
        <w:rFonts w:ascii="Wingdings 2" w:hAnsi="Wingdings 2" w:cs="Wingdings 2" w:hint="default"/>
        <w:color w:val="5E2D8E"/>
      </w:rPr>
    </w:lvl>
    <w:lvl w:ilvl="2">
      <w:start w:val="1"/>
      <w:numFmt w:val="bullet"/>
      <w:lvlText w:val=""/>
      <w:lvlJc w:val="left"/>
      <w:pPr>
        <w:tabs>
          <w:tab w:val="num" w:pos="680"/>
        </w:tabs>
        <w:ind w:left="680" w:hanging="227"/>
      </w:pPr>
      <w:rPr>
        <w:rFonts w:ascii="Wingdings" w:hAnsi="Wingdings" w:cs="Wingdings" w:hint="default"/>
        <w:color w:val="5E2D8E"/>
      </w:rPr>
    </w:lvl>
    <w:lvl w:ilvl="3">
      <w:start w:val="1"/>
      <w:numFmt w:val="bullet"/>
      <w:lvlText w:val=""/>
      <w:lvlJc w:val="left"/>
      <w:pPr>
        <w:tabs>
          <w:tab w:val="num" w:pos="907"/>
        </w:tabs>
        <w:ind w:left="907" w:hanging="227"/>
      </w:pPr>
      <w:rPr>
        <w:rFonts w:ascii="Wingdings" w:hAnsi="Wingdings" w:cs="Wingdings" w:hint="default"/>
        <w:color w:val="5E2D8E"/>
      </w:rPr>
    </w:lvl>
    <w:lvl w:ilvl="4">
      <w:start w:val="1"/>
      <w:numFmt w:val="bullet"/>
      <w:lvlText w:val=""/>
      <w:lvlJc w:val="left"/>
      <w:pPr>
        <w:tabs>
          <w:tab w:val="num" w:pos="1134"/>
        </w:tabs>
        <w:ind w:left="1134" w:hanging="227"/>
      </w:pPr>
      <w:rPr>
        <w:rFonts w:ascii="Wingdings" w:hAnsi="Wingdings" w:cs="Wingdings" w:hint="default"/>
        <w:color w:val="5E2D8E"/>
      </w:rPr>
    </w:lvl>
    <w:lvl w:ilvl="5">
      <w:start w:val="1"/>
      <w:numFmt w:val="bullet"/>
      <w:lvlText w:val=""/>
      <w:lvlJc w:val="left"/>
      <w:pPr>
        <w:tabs>
          <w:tab w:val="num" w:pos="1361"/>
        </w:tabs>
        <w:ind w:left="1361" w:hanging="227"/>
      </w:pPr>
      <w:rPr>
        <w:rFonts w:ascii="Wingdings" w:hAnsi="Wingdings" w:cs="Wingdings" w:hint="default"/>
        <w:color w:val="5E2D8E"/>
      </w:rPr>
    </w:lvl>
    <w:lvl w:ilvl="6">
      <w:start w:val="1"/>
      <w:numFmt w:val="bullet"/>
      <w:lvlText w:val=""/>
      <w:lvlJc w:val="left"/>
      <w:pPr>
        <w:tabs>
          <w:tab w:val="num" w:pos="1587"/>
        </w:tabs>
        <w:ind w:left="1587" w:hanging="227"/>
      </w:pPr>
      <w:rPr>
        <w:rFonts w:ascii="Wingdings" w:hAnsi="Wingdings" w:cs="Wingdings" w:hint="default"/>
        <w:color w:val="5E2D8E"/>
      </w:rPr>
    </w:lvl>
    <w:lvl w:ilvl="7">
      <w:start w:val="1"/>
      <w:numFmt w:val="bullet"/>
      <w:lvlText w:val=""/>
      <w:lvlJc w:val="left"/>
      <w:pPr>
        <w:tabs>
          <w:tab w:val="num" w:pos="1814"/>
        </w:tabs>
        <w:ind w:left="1814" w:hanging="227"/>
      </w:pPr>
      <w:rPr>
        <w:rFonts w:ascii="Wingdings" w:hAnsi="Wingdings" w:cs="Wingdings" w:hint="default"/>
        <w:color w:val="5E2D8E"/>
      </w:rPr>
    </w:lvl>
    <w:lvl w:ilvl="8">
      <w:start w:val="1"/>
      <w:numFmt w:val="bullet"/>
      <w:lvlText w:val=""/>
      <w:lvlJc w:val="left"/>
      <w:pPr>
        <w:tabs>
          <w:tab w:val="num" w:pos="2041"/>
        </w:tabs>
        <w:ind w:left="2041" w:hanging="227"/>
      </w:pPr>
      <w:rPr>
        <w:rFonts w:ascii="Wingdings" w:hAnsi="Wingdings" w:cs="Wingdings" w:hint="default"/>
        <w:color w:val="5E2D8E"/>
      </w:rPr>
    </w:lvl>
  </w:abstractNum>
  <w:abstractNum w:abstractNumId="1" w15:restartNumberingAfterBreak="0">
    <w:nsid w:val="26A84007"/>
    <w:multiLevelType w:val="multilevel"/>
    <w:tmpl w:val="07EAECE2"/>
    <w:lvl w:ilvl="0">
      <w:start w:val="1"/>
      <w:numFmt w:val="bullet"/>
      <w:lvlText w:val=""/>
      <w:lvlJc w:val="left"/>
      <w:pPr>
        <w:tabs>
          <w:tab w:val="num" w:pos="720"/>
        </w:tabs>
        <w:ind w:left="720" w:hanging="360"/>
      </w:pPr>
      <w:rPr>
        <w:rFonts w:ascii="Wingdings" w:hAnsi="Wingdings" w:cs="Wingdings" w:hint="default"/>
        <w:color w:val="5E2D8E"/>
        <w:sz w:val="20"/>
        <w:szCs w:val="20"/>
      </w:rPr>
    </w:lvl>
    <w:lvl w:ilvl="1">
      <w:start w:val="1"/>
      <w:numFmt w:val="bullet"/>
      <w:lvlText w:val="◦"/>
      <w:lvlJc w:val="left"/>
      <w:pPr>
        <w:tabs>
          <w:tab w:val="num" w:pos="1080"/>
        </w:tabs>
        <w:ind w:left="1080" w:hanging="360"/>
      </w:pPr>
      <w:rPr>
        <w:rFonts w:ascii="OpenSymbol" w:hAnsi="OpenSymbol" w:cs="OpenSymbol" w:hint="default"/>
        <w:color w:val="5E2D8E"/>
        <w:sz w:val="26"/>
        <w:szCs w:val="26"/>
      </w:rPr>
    </w:lvl>
    <w:lvl w:ilvl="2">
      <w:start w:val="1"/>
      <w:numFmt w:val="bullet"/>
      <w:lvlText w:val="▪"/>
      <w:lvlJc w:val="left"/>
      <w:pPr>
        <w:tabs>
          <w:tab w:val="num" w:pos="1440"/>
        </w:tabs>
        <w:ind w:left="1440" w:hanging="360"/>
      </w:pPr>
      <w:rPr>
        <w:rFonts w:ascii="OpenSymbol" w:hAnsi="OpenSymbol" w:cs="OpenSymbol" w:hint="default"/>
        <w:color w:val="5E2D8E"/>
        <w:sz w:val="26"/>
        <w:szCs w:val="26"/>
      </w:rPr>
    </w:lvl>
    <w:lvl w:ilvl="3">
      <w:start w:val="1"/>
      <w:numFmt w:val="bullet"/>
      <w:lvlText w:val=""/>
      <w:lvlJc w:val="left"/>
      <w:pPr>
        <w:tabs>
          <w:tab w:val="num" w:pos="1800"/>
        </w:tabs>
        <w:ind w:left="1800" w:hanging="360"/>
      </w:pPr>
      <w:rPr>
        <w:rFonts w:ascii="Symbol" w:hAnsi="Symbol" w:cs="Symbol" w:hint="default"/>
        <w:color w:val="5E2D8E"/>
        <w:sz w:val="26"/>
        <w:szCs w:val="26"/>
      </w:rPr>
    </w:lvl>
    <w:lvl w:ilvl="4">
      <w:start w:val="1"/>
      <w:numFmt w:val="bullet"/>
      <w:lvlText w:val="◦"/>
      <w:lvlJc w:val="left"/>
      <w:pPr>
        <w:tabs>
          <w:tab w:val="num" w:pos="2160"/>
        </w:tabs>
        <w:ind w:left="2160" w:hanging="360"/>
      </w:pPr>
      <w:rPr>
        <w:rFonts w:ascii="OpenSymbol" w:hAnsi="OpenSymbol" w:cs="OpenSymbol" w:hint="default"/>
        <w:color w:val="5E2D8E"/>
        <w:sz w:val="26"/>
        <w:szCs w:val="26"/>
      </w:rPr>
    </w:lvl>
    <w:lvl w:ilvl="5">
      <w:start w:val="1"/>
      <w:numFmt w:val="bullet"/>
      <w:lvlText w:val="▪"/>
      <w:lvlJc w:val="left"/>
      <w:pPr>
        <w:tabs>
          <w:tab w:val="num" w:pos="2520"/>
        </w:tabs>
        <w:ind w:left="2520" w:hanging="360"/>
      </w:pPr>
      <w:rPr>
        <w:rFonts w:ascii="OpenSymbol" w:hAnsi="OpenSymbol" w:cs="OpenSymbol" w:hint="default"/>
        <w:color w:val="5E2D8E"/>
        <w:sz w:val="26"/>
        <w:szCs w:val="26"/>
      </w:rPr>
    </w:lvl>
    <w:lvl w:ilvl="6">
      <w:start w:val="1"/>
      <w:numFmt w:val="bullet"/>
      <w:lvlText w:val=""/>
      <w:lvlJc w:val="left"/>
      <w:pPr>
        <w:tabs>
          <w:tab w:val="num" w:pos="2880"/>
        </w:tabs>
        <w:ind w:left="2880" w:hanging="360"/>
      </w:pPr>
      <w:rPr>
        <w:rFonts w:ascii="Symbol" w:hAnsi="Symbol" w:cs="Symbol" w:hint="default"/>
        <w:color w:val="5E2D8E"/>
        <w:sz w:val="26"/>
        <w:szCs w:val="26"/>
      </w:rPr>
    </w:lvl>
    <w:lvl w:ilvl="7">
      <w:start w:val="1"/>
      <w:numFmt w:val="bullet"/>
      <w:lvlText w:val="◦"/>
      <w:lvlJc w:val="left"/>
      <w:pPr>
        <w:tabs>
          <w:tab w:val="num" w:pos="3240"/>
        </w:tabs>
        <w:ind w:left="3240" w:hanging="360"/>
      </w:pPr>
      <w:rPr>
        <w:rFonts w:ascii="OpenSymbol" w:hAnsi="OpenSymbol" w:cs="OpenSymbol" w:hint="default"/>
        <w:color w:val="5E2D8E"/>
        <w:sz w:val="26"/>
        <w:szCs w:val="26"/>
      </w:rPr>
    </w:lvl>
    <w:lvl w:ilvl="8">
      <w:start w:val="1"/>
      <w:numFmt w:val="bullet"/>
      <w:lvlText w:val="▪"/>
      <w:lvlJc w:val="left"/>
      <w:pPr>
        <w:tabs>
          <w:tab w:val="num" w:pos="3600"/>
        </w:tabs>
        <w:ind w:left="3600" w:hanging="360"/>
      </w:pPr>
      <w:rPr>
        <w:rFonts w:ascii="OpenSymbol" w:hAnsi="OpenSymbol" w:cs="OpenSymbol" w:hint="default"/>
        <w:color w:val="5E2D8E"/>
        <w:sz w:val="26"/>
        <w:szCs w:val="26"/>
      </w:rPr>
    </w:lvl>
  </w:abstractNum>
  <w:abstractNum w:abstractNumId="2" w15:restartNumberingAfterBreak="0">
    <w:nsid w:val="59926DEF"/>
    <w:multiLevelType w:val="hybridMultilevel"/>
    <w:tmpl w:val="35E4FDC0"/>
    <w:lvl w:ilvl="0" w:tplc="413AD3B6">
      <w:start w:val="1"/>
      <w:numFmt w:val="decimal"/>
      <w:lvlText w:val="%1."/>
      <w:lvlJc w:val="left"/>
      <w:pPr>
        <w:ind w:left="720" w:hanging="360"/>
      </w:pPr>
      <w:rPr>
        <w:rFonts w:ascii="Calibri Light" w:eastAsia="Batang" w:hAnsi="Calibri Light"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2253876">
    <w:abstractNumId w:val="2"/>
  </w:num>
  <w:num w:numId="2" w16cid:durableId="1311522738">
    <w:abstractNumId w:val="0"/>
  </w:num>
  <w:num w:numId="3" w16cid:durableId="1741824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6A"/>
    <w:rsid w:val="003529F3"/>
    <w:rsid w:val="00534815"/>
    <w:rsid w:val="006F4E6A"/>
    <w:rsid w:val="00F00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3017"/>
  <w15:chartTrackingRefBased/>
  <w15:docId w15:val="{43CE98B9-63B6-4152-906B-63738256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E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4E6A"/>
    <w:pPr>
      <w:ind w:left="720"/>
      <w:contextualSpacing/>
    </w:pPr>
  </w:style>
  <w:style w:type="paragraph" w:customStyle="1" w:styleId="Pa2">
    <w:name w:val="Pa2"/>
    <w:basedOn w:val="Normal"/>
    <w:next w:val="Normal"/>
    <w:uiPriority w:val="99"/>
    <w:rsid w:val="006F4E6A"/>
    <w:pPr>
      <w:autoSpaceDE w:val="0"/>
      <w:autoSpaceDN w:val="0"/>
      <w:adjustRightInd w:val="0"/>
      <w:spacing w:after="0" w:line="241" w:lineRule="atLeast"/>
    </w:pPr>
    <w:rPr>
      <w:rFonts w:ascii="Arno Pro" w:hAnsi="Arno Pro"/>
      <w:kern w:val="0"/>
      <w:sz w:val="24"/>
      <w:szCs w:val="24"/>
    </w:rPr>
  </w:style>
  <w:style w:type="paragraph" w:styleId="Textonotapie">
    <w:name w:val="footnote text"/>
    <w:basedOn w:val="Normal"/>
    <w:link w:val="TextonotapieCar"/>
    <w:unhideWhenUsed/>
    <w:rsid w:val="006F4E6A"/>
    <w:pPr>
      <w:spacing w:after="0" w:line="240" w:lineRule="auto"/>
    </w:pPr>
    <w:rPr>
      <w:sz w:val="20"/>
      <w:szCs w:val="20"/>
    </w:rPr>
  </w:style>
  <w:style w:type="character" w:customStyle="1" w:styleId="TextonotapieCar">
    <w:name w:val="Texto nota pie Car"/>
    <w:basedOn w:val="Fuentedeprrafopredeter"/>
    <w:link w:val="Textonotapie"/>
    <w:rsid w:val="006F4E6A"/>
    <w:rPr>
      <w:sz w:val="20"/>
      <w:szCs w:val="20"/>
    </w:rPr>
  </w:style>
  <w:style w:type="character" w:styleId="Refdenotaalpie">
    <w:name w:val="footnote reference"/>
    <w:basedOn w:val="Fuentedeprrafopredeter"/>
    <w:uiPriority w:val="99"/>
    <w:semiHidden/>
    <w:unhideWhenUsed/>
    <w:rsid w:val="006F4E6A"/>
    <w:rPr>
      <w:vertAlign w:val="superscript"/>
    </w:rPr>
  </w:style>
  <w:style w:type="paragraph" w:customStyle="1" w:styleId="LetsNormalTEXT">
    <w:name w:val="_LetsNormalTEXT"/>
    <w:basedOn w:val="Normal"/>
    <w:qFormat/>
    <w:rsid w:val="00534815"/>
    <w:pPr>
      <w:suppressAutoHyphens/>
      <w:spacing w:after="57" w:line="276" w:lineRule="auto"/>
      <w:jc w:val="both"/>
    </w:pPr>
    <w:rPr>
      <w:rFonts w:ascii="Calibri Light" w:eastAsia="Batang" w:hAnsi="Calibri Light" w:cs="Times New Roman"/>
      <w:kern w:val="0"/>
      <w:sz w:val="24"/>
      <w:szCs w:val="24"/>
      <w:lang w:val="en-GB" w:eastAsia="ko-KR"/>
      <w14:ligatures w14:val="none"/>
    </w:rPr>
  </w:style>
  <w:style w:type="paragraph" w:customStyle="1" w:styleId="LetsLIST">
    <w:name w:val="_LetsLIST"/>
    <w:basedOn w:val="Prrafodelista"/>
    <w:qFormat/>
    <w:rsid w:val="00534815"/>
    <w:pPr>
      <w:numPr>
        <w:numId w:val="2"/>
      </w:numPr>
      <w:tabs>
        <w:tab w:val="clear" w:pos="227"/>
        <w:tab w:val="left" w:pos="113"/>
        <w:tab w:val="num" w:pos="360"/>
      </w:tabs>
      <w:suppressAutoHyphens/>
      <w:spacing w:after="57" w:line="276" w:lineRule="auto"/>
      <w:ind w:left="340" w:hanging="113"/>
      <w:jc w:val="both"/>
    </w:pPr>
    <w:rPr>
      <w:rFonts w:ascii="Calibri Light" w:eastAsia="Batang" w:hAnsi="Calibri Light" w:cs="Times New Roman"/>
      <w:kern w:val="0"/>
      <w:sz w:val="24"/>
      <w:szCs w:val="24"/>
      <w:lang w:val="en-GB" w:eastAsia="ko-KR"/>
      <w14:ligatures w14:val="none"/>
    </w:rPr>
  </w:style>
  <w:style w:type="paragraph" w:customStyle="1" w:styleId="LetsFIGURES">
    <w:name w:val="_LetsFIGURES"/>
    <w:basedOn w:val="Normal"/>
    <w:next w:val="Normal"/>
    <w:qFormat/>
    <w:rsid w:val="00534815"/>
    <w:pPr>
      <w:suppressAutoHyphens/>
      <w:spacing w:after="113" w:line="240" w:lineRule="auto"/>
      <w:jc w:val="center"/>
    </w:pPr>
    <w:rPr>
      <w:rFonts w:ascii="Calibri Light" w:eastAsia="Batang" w:hAnsi="Calibri Light" w:cs="Times New Roman"/>
      <w:bCs/>
      <w:i/>
      <w:color w:val="5E2D8E"/>
      <w:kern w:val="0"/>
      <w:sz w:val="16"/>
      <w:szCs w:val="18"/>
      <w:lang w:val="en-GB"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369</Words>
  <Characters>2030</Characters>
  <Application>Microsoft Office Word</Application>
  <DocSecurity>0</DocSecurity>
  <Lines>16</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Lores Sánchez</dc:creator>
  <cp:keywords/>
  <dc:description/>
  <cp:lastModifiedBy>Nuria Lores Sánchez</cp:lastModifiedBy>
  <cp:revision>2</cp:revision>
  <dcterms:created xsi:type="dcterms:W3CDTF">2023-12-11T18:26:00Z</dcterms:created>
  <dcterms:modified xsi:type="dcterms:W3CDTF">2023-12-11T18:32:00Z</dcterms:modified>
</cp:coreProperties>
</file>